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pBdr/>
        <w:spacing/>
        <w:ind/>
        <w:jc w:val="center"/>
        <w:rPr>
          <w:rStyle w:val="621"/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Пояснительная</w:t>
      </w:r>
      <w:r>
        <w:rPr>
          <w:rStyle w:val="621"/>
          <w:rFonts w:ascii="Times New Roman" w:hAnsi="Times New Roman" w:cs="Times New Roman"/>
          <w:sz w:val="28"/>
          <w:szCs w:val="28"/>
        </w:rPr>
        <w:t xml:space="preserve"> записка</w:t>
      </w:r>
      <w:r>
        <w:rPr>
          <w:rStyle w:val="621"/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Style w:val="621"/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о проведении оценки ре</w:t>
      </w:r>
      <w:r>
        <w:rPr>
          <w:rStyle w:val="621"/>
          <w:rFonts w:ascii="Times New Roman" w:hAnsi="Times New Roman" w:cs="Times New Roman"/>
          <w:sz w:val="28"/>
          <w:szCs w:val="28"/>
        </w:rPr>
        <w:t xml:space="preserve">гулирующего воздействия проекта</w:t>
      </w:r>
      <w:r>
        <w:rPr>
          <w:rStyle w:val="621"/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Style w:val="621"/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</w:t>
      </w:r>
      <w:r>
        <w:rPr>
          <w:rStyle w:val="621"/>
          <w:rFonts w:ascii="Times New Roman" w:hAnsi="Times New Roman" w:cs="Times New Roman"/>
          <w:sz w:val="28"/>
          <w:szCs w:val="28"/>
        </w:rPr>
        <w:t xml:space="preserve">, устанавливающего</w:t>
      </w:r>
      <w:r>
        <w:rPr>
          <w:rStyle w:val="621"/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Style w:val="621"/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новые или изменяющих ранее предусмотренные муниципальными</w:t>
      </w:r>
      <w:r>
        <w:rPr>
          <w:rStyle w:val="621"/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Style w:val="621"/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нормативными правовыми актами обязанности для субъектов</w:t>
      </w:r>
      <w:r>
        <w:rPr>
          <w:rStyle w:val="621"/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10270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Общая информация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708"/>
        <w:gridCol w:w="9497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68" w:firstLine="720" w:left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Проект Постановления Исполнительного комитета Сабинского муниципального района «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Админ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истративный регламент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,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.05.2021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706-п»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Исполнительного комитета Сабинского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проекта правового акта: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321" w:line="226" w:lineRule="auto"/>
              <w:ind w:left="8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в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Админ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истративный регламент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,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.05.2021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706-п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разработчика (исполнителя):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79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Исполнительного комитета Сабинского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23197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line="240" w:lineRule="auto"/>
              <w:ind w:firstLine="0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r>
              <w:rPr>
                <w:sz w:val="20"/>
              </w:rPr>
              <w:t xml:space="preserve">Albert.Minikaev@tatar.ru</w:t>
            </w:r>
            <w:r>
              <w:rPr>
                <w:color w:val="0000ff"/>
                <w:sz w:val="28"/>
                <w:szCs w:val="28"/>
                <w:u w:val="single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Степень регулирующего воздействия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687"/>
        <w:gridCol w:w="951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sub_1012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</w:t>
            </w:r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регулирующего воздействия: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62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отнесения проекта правового акта к определенной степени регулирующего воздействия: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ранее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,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.05.2021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706-п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Описание проблемы, на решение которой направлена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687"/>
        <w:gridCol w:w="951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проблемы: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1_719"/>
              <w:widowControl w:val="false"/>
              <w:pBdr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Федеральны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 xml:space="preserve">ом</w:t>
            </w:r>
            <w:r>
              <w:rPr>
                <w:sz w:val="28"/>
                <w:szCs w:val="28"/>
              </w:rPr>
              <w:t xml:space="preserve"> от 29.12.2022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605-ФЗ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О внесении изменений в отдельные законодате</w:t>
            </w:r>
            <w:r>
              <w:rPr>
                <w:sz w:val="28"/>
                <w:szCs w:val="28"/>
              </w:rPr>
              <w:t xml:space="preserve">льные акты Российской Федерации»</w:t>
            </w:r>
            <w:r>
              <w:rPr>
                <w:sz w:val="28"/>
                <w:szCs w:val="28"/>
              </w:rPr>
              <w:t xml:space="preserve"> возникла необходимость внесения изменений в Административный регламент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,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.05.2021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706-п 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негативных эффектов, возникающих в связи с наличием проблемы: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624"/>
              <w:pBdr/>
              <w:spacing/>
              <w:ind w:firstLine="622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Отсутствие соответствующих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изменений влечет несоответствие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отдельным положениям Федерального закона от 29.12.2022 №605-ФЗ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Описание цели разработки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pBdr/>
        <w:spacing/>
        <w:ind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Проект </w:t>
      </w:r>
      <w:r>
        <w:rPr>
          <w:rFonts w:ascii="Tinos" w:hAnsi="Tinos" w:eastAsia="Tinos" w:cs="Tinos"/>
          <w:sz w:val="28"/>
          <w:szCs w:val="28"/>
        </w:rPr>
        <w:t xml:space="preserve">постановления</w:t>
      </w:r>
      <w:r>
        <w:rPr>
          <w:rFonts w:ascii="Tinos" w:hAnsi="Tinos" w:eastAsia="Tinos" w:cs="Tinos"/>
          <w:sz w:val="28"/>
          <w:szCs w:val="28"/>
        </w:rPr>
        <w:t xml:space="preserve"> разработан в соответствии с Ф</w:t>
      </w:r>
      <w:r>
        <w:rPr>
          <w:rFonts w:ascii="Tinos" w:hAnsi="Tinos" w:eastAsia="Tinos" w:cs="Tinos"/>
          <w:sz w:val="28"/>
          <w:szCs w:val="28"/>
        </w:rPr>
        <w:t xml:space="preserve">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Федеральны</w:t>
      </w:r>
      <w:r>
        <w:rPr>
          <w:rFonts w:ascii="Tinos" w:hAnsi="Tinos" w:eastAsia="Tinos" w:cs="Tinos"/>
          <w:sz w:val="28"/>
          <w:szCs w:val="28"/>
        </w:rPr>
        <w:t xml:space="preserve">м</w:t>
      </w:r>
      <w:r>
        <w:rPr>
          <w:rFonts w:ascii="Tinos" w:hAnsi="Tinos" w:eastAsia="Tinos" w:cs="Tinos"/>
          <w:sz w:val="28"/>
          <w:szCs w:val="28"/>
        </w:rPr>
        <w:t xml:space="preserve"> закон</w:t>
      </w:r>
      <w:r>
        <w:rPr>
          <w:rFonts w:ascii="Tinos" w:hAnsi="Tinos" w:eastAsia="Tinos" w:cs="Tinos"/>
          <w:sz w:val="28"/>
          <w:szCs w:val="28"/>
        </w:rPr>
        <w:t xml:space="preserve">ом</w:t>
      </w:r>
      <w:r>
        <w:rPr>
          <w:rFonts w:ascii="Tinos" w:hAnsi="Tinos" w:eastAsia="Tinos" w:cs="Tinos"/>
          <w:sz w:val="28"/>
          <w:szCs w:val="28"/>
        </w:rPr>
        <w:t xml:space="preserve"> от 29.12.2022 </w:t>
      </w:r>
      <w:r>
        <w:rPr>
          <w:rFonts w:ascii="Tinos" w:hAnsi="Tinos" w:eastAsia="Tinos" w:cs="Tinos"/>
          <w:sz w:val="28"/>
          <w:szCs w:val="28"/>
        </w:rPr>
        <w:t xml:space="preserve">№</w:t>
      </w:r>
      <w:r>
        <w:rPr>
          <w:rFonts w:ascii="Tinos" w:hAnsi="Tinos" w:eastAsia="Tinos" w:cs="Tinos"/>
          <w:sz w:val="28"/>
          <w:szCs w:val="28"/>
        </w:rPr>
        <w:t xml:space="preserve">605-ФЗ</w:t>
      </w:r>
      <w:r>
        <w:rPr>
          <w:rFonts w:ascii="Tinos" w:hAnsi="Tinos" w:eastAsia="Tinos" w:cs="Tinos"/>
          <w:sz w:val="28"/>
          <w:szCs w:val="28"/>
        </w:rPr>
        <w:t xml:space="preserve"> «</w:t>
      </w:r>
      <w:r>
        <w:rPr>
          <w:rFonts w:ascii="Tinos" w:hAnsi="Tinos" w:eastAsia="Tinos" w:cs="Tinos"/>
          <w:sz w:val="28"/>
          <w:szCs w:val="28"/>
        </w:rPr>
        <w:t xml:space="preserve">О внесении изменений в отдельные законодате</w:t>
      </w:r>
      <w:r>
        <w:rPr>
          <w:rFonts w:ascii="Tinos" w:hAnsi="Tinos" w:eastAsia="Tinos" w:cs="Tinos"/>
          <w:sz w:val="28"/>
          <w:szCs w:val="28"/>
        </w:rPr>
        <w:t xml:space="preserve">льные акты Российской Федерации»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 направлен на организацию предоставления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 </w:t>
      </w:r>
      <w:r>
        <w:rPr>
          <w:rFonts w:ascii="Tinos" w:hAnsi="Tinos" w:cs="Tinos"/>
          <w:sz w:val="28"/>
          <w:szCs w:val="28"/>
        </w:rPr>
      </w:r>
    </w:p>
    <w:p>
      <w:pPr>
        <w:pStyle w:val="62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Перечень действующих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правовых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актов, поручений, решений, послуживших основанием для разработки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869"/>
        <w:gridCol w:w="9336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 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Ф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едеральным законом от 06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textDirection w:val="lrTb"/>
            <w:noWrap w:val="false"/>
          </w:tcPr>
          <w:p>
            <w:pPr>
              <w:pBdr/>
              <w:spacing/>
              <w:ind w:firstLine="0" w:left="15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Федеральны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м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закон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ом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от 29.12.2022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605-ФЗ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«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 внесении изменений в отдельные законодате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льные акты Российской Федерации»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      </w:t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Основные группы субъектов предпринимательской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деятельности, интересы которых будут затронуты в связи 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принятием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5669"/>
        <w:gridCol w:w="2410"/>
        <w:gridCol w:w="2127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количества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осуществляющие свою предпринимательскую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поддается количественной оценке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Новые функции, полномочия, обязанности и права органов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или сведения об их изменении, а также порядок их реализации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3118"/>
        <w:gridCol w:w="3827"/>
        <w:gridCol w:w="3261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и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 w:firstLine="0"/>
              <w:jc w:val="left"/>
              <w:outlineLvl w:val="0"/>
              <w:rPr>
                <w:rFonts w:ascii="Tinos" w:hAnsi="Tinos" w:eastAsia="Tinos" w:cs="Tinos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предоставления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 w:firstLine="0"/>
              <w:jc w:val="left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Предоставление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не требуется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Сведения о новых обязанностях, запретах и ограничениях для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либо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существующих обязанностей, запретов и ограничений,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оценка расходов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возникающих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соблюдения устанавливаемых обязанностей, запретов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ограничений либо с изменением их содержания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9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3401"/>
        <w:gridCol w:w="3333"/>
        <w:gridCol w:w="3463"/>
        <w:gridCol w:w="12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субъектов (указываются данные из раздела 6)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3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обязанностей, запретов и ограничений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5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 количественная оценка расходов субъектов (тыс. руб.)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/>
            </w:pP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осуществляющие свою предпринимательскую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33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75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197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данных, послужившие основанием для количественной оценки расходов субъектов: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197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расходов субъектов, не поддающихся количественной оценке: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Оценка рисков возникновения неблагоприятных последствий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принятия (издания) правового акта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правового акта,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переходного периода и (или) отсрочки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вступления в силу правового акта либо необходимость распространения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положений правового акта на ранее возникшие отношения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827"/>
        <w:gridCol w:w="937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дата вступления в силу: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отсрочки всту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пления в силу правового акта: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распространения положений правового акта на ранее возникшие отношения: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правового акта либо распространения положений правового акта на ранее возникшие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/>
      <w:bookmarkStart w:id="2" w:name="sub_10215"/>
      <w:r/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Сведения о проведенных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консультациях</w:t>
      </w:r>
      <w:r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957"/>
        <w:gridCol w:w="924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организациях, в адрес которых направлялось уведомление о проведении процедуры ОРВ: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restart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проведения публичных обсуждений: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continue"/>
            <w:textDirection w:val="lrTb"/>
            <w:noWrap w:val="false"/>
          </w:tcPr>
          <w:p>
            <w:pPr>
              <w:pStyle w:val="622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поступивших замечаний и предложений –;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решение, принятое по результатам публичных обсуждений –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- не учтено в связи с дублированием Федерального закона,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– учтено, проект правового акта доработан;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Style w:val="62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причины принятия решения об отказе от дальнейшей подготовки проекта правового акта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Иные необходимые, по мнению разработчика, сведения:-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(текстовое описание)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r>
        <w:rPr>
          <w:rFonts w:ascii="Times New Roman" w:hAnsi="Times New Roman" w:cs="Times New Roman"/>
          <w:sz w:val="28"/>
          <w:szCs w:val="28"/>
        </w:rPr>
        <w:t xml:space="preserve">отдел Исполнительного комитета Сабинского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21"/>
          <w:rFonts w:ascii="Times New Roman" w:hAnsi="Times New Roman" w:cs="Times New Roman"/>
          <w:sz w:val="28"/>
          <w:szCs w:val="28"/>
        </w:rPr>
        <w:t xml:space="preserve">Примечание.</w:t>
      </w:r>
      <w:r>
        <w:rPr>
          <w:rFonts w:ascii="Times New Roman" w:hAnsi="Times New Roman" w:cs="Times New Roman"/>
          <w:sz w:val="28"/>
          <w:szCs w:val="28"/>
        </w:rPr>
        <w:t xml:space="preserve"> Раздел 12 сводного   отчета   о   проведении   оценки регулирующего воздействия заполняется    после    проведения  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проекта правового акта.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00" w:orient="landscape" w:w="11906"/>
      <w:pgMar w:top="993" w:right="800" w:bottom="426" w:left="11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Segoe UI">
    <w:panose1 w:val="020B0502040504020204"/>
  </w:font>
  <w:font w:name="Times New Roman">
    <w:panose1 w:val="02020603050405020304"/>
  </w:font>
  <w:font w:name="Courier New">
    <w:panose1 w:val="02070409020205020404"/>
  </w:font>
  <w:font w:name="SimSun">
    <w:panose1 w:val="0200050600000002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b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1380" w:left="2089"/>
      </w:pPr>
      <w:rPr>
        <w:rFonts w:hint="default"/>
        <w:b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380" w:left="2089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widowControl w:val="false"/>
      <w:pBdr/>
      <w:spacing w:after="0" w:line="100" w:lineRule="atLeast"/>
      <w:ind w:firstLine="720"/>
      <w:jc w:val="both"/>
    </w:pPr>
    <w:rPr>
      <w:rFonts w:ascii="Arial" w:hAnsi="Arial" w:eastAsia="SimSun" w:cs="Arial"/>
      <w:sz w:val="24"/>
      <w:szCs w:val="24"/>
      <w:lang w:eastAsia="ar-SA"/>
    </w:r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  <w:style w:type="character" w:styleId="621" w:customStyle="1">
    <w:name w:val="Цветовое выделение"/>
    <w:pPr>
      <w:pBdr/>
      <w:spacing/>
      <w:ind/>
    </w:pPr>
    <w:rPr>
      <w:b/>
      <w:bCs/>
      <w:color w:val="26282f"/>
    </w:rPr>
  </w:style>
  <w:style w:type="paragraph" w:styleId="622" w:customStyle="1">
    <w:name w:val="Нормальный (таблица)"/>
    <w:basedOn w:val="617"/>
    <w:uiPriority w:val="99"/>
    <w:pPr>
      <w:pBdr/>
      <w:spacing/>
      <w:ind w:firstLine="0"/>
    </w:pPr>
  </w:style>
  <w:style w:type="paragraph" w:styleId="623" w:customStyle="1">
    <w:name w:val="Таблицы (моноширинный)"/>
    <w:basedOn w:val="617"/>
    <w:pPr>
      <w:pBdr/>
      <w:spacing/>
      <w:ind w:firstLine="0"/>
      <w:jc w:val="left"/>
    </w:pPr>
    <w:rPr>
      <w:rFonts w:ascii="Courier New" w:hAnsi="Courier New" w:cs="Courier New"/>
    </w:rPr>
  </w:style>
  <w:style w:type="paragraph" w:styleId="624" w:customStyle="1">
    <w:name w:val="Прижатый влево"/>
    <w:basedOn w:val="617"/>
    <w:uiPriority w:val="99"/>
    <w:pPr>
      <w:pBdr/>
      <w:spacing/>
      <w:ind w:firstLine="0"/>
      <w:jc w:val="left"/>
    </w:pPr>
  </w:style>
  <w:style w:type="paragraph" w:styleId="625" w:customStyle="1">
    <w:name w:val="ConsPlusNormal"/>
    <w:pPr>
      <w:pBdr/>
      <w:spacing w:after="0" w:line="100" w:lineRule="atLeast"/>
      <w:ind/>
    </w:pPr>
    <w:rPr>
      <w:rFonts w:ascii="Arial" w:hAnsi="Arial" w:eastAsia="SimSun" w:cs="Arial"/>
      <w:sz w:val="24"/>
      <w:szCs w:val="24"/>
      <w:lang w:eastAsia="ar-SA"/>
    </w:rPr>
  </w:style>
  <w:style w:type="character" w:styleId="62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627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8">
    <w:name w:val="Balloon Text"/>
    <w:basedOn w:val="617"/>
    <w:link w:val="629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18"/>
    <w:link w:val="628"/>
    <w:uiPriority w:val="99"/>
    <w:semiHidden/>
    <w:pPr>
      <w:pBdr/>
      <w:spacing/>
      <w:ind/>
    </w:pPr>
    <w:rPr>
      <w:rFonts w:ascii="Segoe UI" w:hAnsi="Segoe UI" w:eastAsia="SimSun" w:cs="Segoe UI"/>
      <w:sz w:val="18"/>
      <w:szCs w:val="18"/>
      <w:lang w:eastAsia="ar-SA"/>
    </w:rPr>
  </w:style>
  <w:style w:type="paragraph" w:styleId="1_719" w:customStyle="1">
    <w:name w:val="Body Text 2"/>
    <w:basedOn w:val="709"/>
    <w:link w:val="76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36" w:lineRule="auto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C605-421E-424F-AB06-74201405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2023-10-12T08:14:00Z</dcterms:created>
  <dcterms:modified xsi:type="dcterms:W3CDTF">2024-07-31T11:11:01Z</dcterms:modified>
</cp:coreProperties>
</file>